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EA6" w:rsidRDefault="005F3EA6" w:rsidP="005F3EA6">
      <w:pPr>
        <w:spacing w:before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Streszczenie</w:t>
      </w:r>
    </w:p>
    <w:p w:rsidR="005F3EA6" w:rsidRDefault="005F3EA6" w:rsidP="005F3EA6">
      <w:pPr>
        <w:spacing w:before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049C2">
        <w:rPr>
          <w:rFonts w:ascii="Arial" w:hAnsi="Arial" w:cs="Arial"/>
          <w:sz w:val="20"/>
          <w:szCs w:val="20"/>
        </w:rPr>
        <w:t>Odrzucanie przeszczepów oraz leczenie chorób autoimmunologicznych pozostaje poważnym wyzwaniem w terapiach immunosupresyjnych.</w:t>
      </w:r>
      <w:r>
        <w:rPr>
          <w:rFonts w:ascii="Arial" w:hAnsi="Arial" w:cs="Arial"/>
          <w:sz w:val="20"/>
          <w:szCs w:val="20"/>
        </w:rPr>
        <w:t xml:space="preserve"> </w:t>
      </w:r>
      <w:r w:rsidRPr="00A049C2">
        <w:rPr>
          <w:rFonts w:ascii="Arial" w:hAnsi="Arial" w:cs="Arial"/>
          <w:sz w:val="20"/>
          <w:szCs w:val="20"/>
        </w:rPr>
        <w:t>W związku z wysoką toksycznością polekową, obejmującą infekcje i choroby nowotworowe</w:t>
      </w:r>
      <w:r>
        <w:rPr>
          <w:rFonts w:ascii="Arial" w:hAnsi="Arial" w:cs="Arial"/>
          <w:sz w:val="20"/>
          <w:szCs w:val="20"/>
        </w:rPr>
        <w:t xml:space="preserve">, </w:t>
      </w:r>
      <w:r w:rsidRPr="00A049C2">
        <w:rPr>
          <w:rFonts w:ascii="Arial" w:hAnsi="Arial" w:cs="Arial"/>
          <w:sz w:val="20"/>
          <w:szCs w:val="20"/>
        </w:rPr>
        <w:t xml:space="preserve">a także niezadowalającą skutecznością leczenia, konieczne jest poszukiwanie nowych rozwiązań. Jednym z nich są modyfikacje strukturalne cząsteczki kwasu </w:t>
      </w:r>
      <w:proofErr w:type="spellStart"/>
      <w:r w:rsidRPr="00A049C2">
        <w:rPr>
          <w:rFonts w:ascii="Arial" w:hAnsi="Arial" w:cs="Arial"/>
          <w:sz w:val="20"/>
          <w:szCs w:val="20"/>
        </w:rPr>
        <w:t>mykofenolowego</w:t>
      </w:r>
      <w:proofErr w:type="spellEnd"/>
      <w:r w:rsidRPr="00A049C2">
        <w:rPr>
          <w:rFonts w:ascii="Arial" w:hAnsi="Arial" w:cs="Arial"/>
          <w:sz w:val="20"/>
          <w:szCs w:val="20"/>
        </w:rPr>
        <w:t xml:space="preserve"> (</w:t>
      </w:r>
      <w:r w:rsidRPr="00A049C2">
        <w:rPr>
          <w:rFonts w:ascii="Arial" w:hAnsi="Arial" w:cs="Arial"/>
          <w:b/>
          <w:sz w:val="20"/>
          <w:szCs w:val="20"/>
        </w:rPr>
        <w:t>MPA</w:t>
      </w:r>
      <w:r w:rsidRPr="00A049C2">
        <w:rPr>
          <w:rFonts w:ascii="Arial" w:hAnsi="Arial" w:cs="Arial"/>
          <w:sz w:val="20"/>
          <w:szCs w:val="20"/>
        </w:rPr>
        <w:t xml:space="preserve">) będącego substancją aktywną stosowanego klinicznie </w:t>
      </w:r>
      <w:proofErr w:type="spellStart"/>
      <w:r w:rsidRPr="00A049C2">
        <w:rPr>
          <w:rFonts w:ascii="Arial" w:hAnsi="Arial" w:cs="Arial"/>
          <w:sz w:val="20"/>
          <w:szCs w:val="20"/>
        </w:rPr>
        <w:t>immunosupresantu</w:t>
      </w:r>
      <w:proofErr w:type="spellEnd"/>
      <w:r w:rsidRPr="00A049C2">
        <w:rPr>
          <w:rFonts w:ascii="Arial" w:hAnsi="Arial" w:cs="Arial"/>
          <w:sz w:val="20"/>
          <w:szCs w:val="20"/>
        </w:rPr>
        <w:t xml:space="preserve">. Na podstawie danych literaturowych i własnych badań </w:t>
      </w:r>
      <w:r w:rsidRPr="00A049C2">
        <w:rPr>
          <w:rFonts w:ascii="Arial" w:hAnsi="Arial" w:cs="Arial"/>
          <w:i/>
          <w:sz w:val="20"/>
          <w:szCs w:val="20"/>
        </w:rPr>
        <w:t xml:space="preserve">in </w:t>
      </w:r>
      <w:proofErr w:type="spellStart"/>
      <w:r w:rsidRPr="00A049C2">
        <w:rPr>
          <w:rFonts w:ascii="Arial" w:hAnsi="Arial" w:cs="Arial"/>
          <w:i/>
          <w:sz w:val="20"/>
          <w:szCs w:val="20"/>
        </w:rPr>
        <w:t>silico</w:t>
      </w:r>
      <w:proofErr w:type="spellEnd"/>
      <w:r w:rsidRPr="00A049C2">
        <w:rPr>
          <w:rFonts w:ascii="Arial" w:hAnsi="Arial" w:cs="Arial"/>
          <w:sz w:val="20"/>
          <w:szCs w:val="20"/>
        </w:rPr>
        <w:t xml:space="preserve">, zaprojektowałem, otrzymałem i scharakteryzowałem 49 nowych pochodnych </w:t>
      </w:r>
      <w:r w:rsidRPr="00A049C2">
        <w:rPr>
          <w:rFonts w:ascii="Arial" w:hAnsi="Arial" w:cs="Arial"/>
          <w:b/>
          <w:sz w:val="20"/>
          <w:szCs w:val="20"/>
        </w:rPr>
        <w:t>MPA</w:t>
      </w:r>
      <w:r w:rsidRPr="00A049C2">
        <w:rPr>
          <w:rFonts w:ascii="Arial" w:hAnsi="Arial" w:cs="Arial"/>
          <w:sz w:val="20"/>
          <w:szCs w:val="20"/>
        </w:rPr>
        <w:t xml:space="preserve">. Serie tych związków obejmują </w:t>
      </w:r>
      <w:r>
        <w:rPr>
          <w:rFonts w:ascii="Arial" w:hAnsi="Arial" w:cs="Arial"/>
          <w:sz w:val="20"/>
          <w:szCs w:val="20"/>
        </w:rPr>
        <w:br/>
      </w:r>
      <w:r w:rsidRPr="00A049C2">
        <w:rPr>
          <w:rFonts w:ascii="Arial" w:hAnsi="Arial" w:cs="Arial"/>
          <w:i/>
          <w:sz w:val="20"/>
          <w:szCs w:val="20"/>
        </w:rPr>
        <w:t>N</w:t>
      </w:r>
      <w:r w:rsidRPr="00A049C2">
        <w:rPr>
          <w:rFonts w:ascii="Arial" w:hAnsi="Arial" w:cs="Arial"/>
          <w:sz w:val="20"/>
          <w:szCs w:val="20"/>
        </w:rPr>
        <w:t xml:space="preserve">-heterocykliczne amidy zbudowane z rdzeni </w:t>
      </w:r>
      <w:proofErr w:type="spellStart"/>
      <w:r w:rsidRPr="00A049C2">
        <w:rPr>
          <w:rFonts w:ascii="Arial" w:hAnsi="Arial" w:cs="Arial"/>
          <w:sz w:val="20"/>
          <w:szCs w:val="20"/>
        </w:rPr>
        <w:t>benzo</w:t>
      </w:r>
      <w:proofErr w:type="spellEnd"/>
      <w:r w:rsidRPr="00A049C2">
        <w:rPr>
          <w:rFonts w:ascii="Arial" w:hAnsi="Arial" w:cs="Arial"/>
          <w:sz w:val="20"/>
          <w:szCs w:val="20"/>
        </w:rPr>
        <w:t xml:space="preserve">[d]tiazolu, </w:t>
      </w:r>
      <w:proofErr w:type="spellStart"/>
      <w:r w:rsidRPr="00A049C2">
        <w:rPr>
          <w:rFonts w:ascii="Arial" w:hAnsi="Arial" w:cs="Arial"/>
          <w:sz w:val="20"/>
          <w:szCs w:val="20"/>
        </w:rPr>
        <w:t>benzo</w:t>
      </w:r>
      <w:proofErr w:type="spellEnd"/>
      <w:r w:rsidRPr="00A049C2">
        <w:rPr>
          <w:rFonts w:ascii="Arial" w:hAnsi="Arial" w:cs="Arial"/>
          <w:sz w:val="20"/>
          <w:szCs w:val="20"/>
        </w:rPr>
        <w:t>[d]</w:t>
      </w:r>
      <w:proofErr w:type="spellStart"/>
      <w:r w:rsidRPr="00A049C2">
        <w:rPr>
          <w:rFonts w:ascii="Arial" w:hAnsi="Arial" w:cs="Arial"/>
          <w:sz w:val="20"/>
          <w:szCs w:val="20"/>
        </w:rPr>
        <w:t>oksazolu</w:t>
      </w:r>
      <w:proofErr w:type="spellEnd"/>
      <w:r w:rsidRPr="00A049C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br/>
      </w:r>
      <w:proofErr w:type="spellStart"/>
      <w:r w:rsidRPr="00A049C2">
        <w:rPr>
          <w:rFonts w:ascii="Arial" w:hAnsi="Arial" w:cs="Arial"/>
          <w:sz w:val="20"/>
          <w:szCs w:val="20"/>
        </w:rPr>
        <w:t>benzo</w:t>
      </w:r>
      <w:proofErr w:type="spellEnd"/>
      <w:r w:rsidRPr="00A049C2">
        <w:rPr>
          <w:rFonts w:ascii="Arial" w:hAnsi="Arial" w:cs="Arial"/>
          <w:sz w:val="20"/>
          <w:szCs w:val="20"/>
        </w:rPr>
        <w:t>[d]-</w:t>
      </w:r>
      <w:r w:rsidRPr="00A049C2">
        <w:rPr>
          <w:rFonts w:ascii="Arial" w:hAnsi="Arial" w:cs="Arial"/>
          <w:i/>
          <w:sz w:val="20"/>
          <w:szCs w:val="20"/>
        </w:rPr>
        <w:t>1H</w:t>
      </w:r>
      <w:r w:rsidRPr="00A049C2">
        <w:rPr>
          <w:rFonts w:ascii="Arial" w:hAnsi="Arial" w:cs="Arial"/>
          <w:sz w:val="20"/>
          <w:szCs w:val="20"/>
        </w:rPr>
        <w:t xml:space="preserve">-imidazolu lub 2-metylopirymidyny, estry naturalnych fenoli, takich jak np. keton malinowy czy eugenol, a także </w:t>
      </w:r>
      <w:proofErr w:type="spellStart"/>
      <w:r w:rsidRPr="00A049C2">
        <w:rPr>
          <w:rFonts w:ascii="Arial" w:hAnsi="Arial" w:cs="Arial"/>
          <w:sz w:val="20"/>
          <w:szCs w:val="20"/>
        </w:rPr>
        <w:t>bioizostery</w:t>
      </w:r>
      <w:proofErr w:type="spellEnd"/>
      <w:r w:rsidRPr="00A049C2">
        <w:rPr>
          <w:rFonts w:ascii="Arial" w:hAnsi="Arial" w:cs="Arial"/>
          <w:sz w:val="20"/>
          <w:szCs w:val="20"/>
        </w:rPr>
        <w:t xml:space="preserve"> oparte o układ 1,3,4- czy też 1,2,4-oksadiazolowy. Wstępne badania aktywności biologicznej wykazały, iż związki te są inhibitorami dehydrogenazy 5'-monofosforanu inozyny (IMPDH), podobnie do </w:t>
      </w:r>
      <w:r w:rsidRPr="00A049C2">
        <w:rPr>
          <w:rFonts w:ascii="Arial" w:hAnsi="Arial" w:cs="Arial"/>
          <w:b/>
          <w:sz w:val="20"/>
          <w:szCs w:val="20"/>
        </w:rPr>
        <w:t>MPA</w:t>
      </w:r>
      <w:r w:rsidRPr="00A049C2">
        <w:rPr>
          <w:rFonts w:ascii="Arial" w:hAnsi="Arial" w:cs="Arial"/>
          <w:sz w:val="20"/>
          <w:szCs w:val="20"/>
        </w:rPr>
        <w:t xml:space="preserve">, a większość z nich jest mniej od niego cytotoksyczna, </w:t>
      </w:r>
      <w:r>
        <w:rPr>
          <w:rFonts w:ascii="Arial" w:hAnsi="Arial" w:cs="Arial"/>
          <w:sz w:val="20"/>
          <w:szCs w:val="20"/>
        </w:rPr>
        <w:br/>
      </w:r>
      <w:r w:rsidRPr="00A049C2">
        <w:rPr>
          <w:rFonts w:ascii="Arial" w:hAnsi="Arial" w:cs="Arial"/>
          <w:sz w:val="20"/>
          <w:szCs w:val="20"/>
        </w:rPr>
        <w:t xml:space="preserve">w warunkach </w:t>
      </w:r>
      <w:r w:rsidRPr="00A049C2">
        <w:rPr>
          <w:rFonts w:ascii="Arial" w:hAnsi="Arial" w:cs="Arial"/>
          <w:i/>
          <w:sz w:val="20"/>
          <w:szCs w:val="20"/>
        </w:rPr>
        <w:t>in vitro</w:t>
      </w:r>
      <w:r w:rsidRPr="00A049C2">
        <w:rPr>
          <w:rFonts w:ascii="Arial" w:hAnsi="Arial" w:cs="Arial"/>
          <w:sz w:val="20"/>
          <w:szCs w:val="20"/>
        </w:rPr>
        <w:t>,</w:t>
      </w:r>
      <w:r w:rsidRPr="00A049C2">
        <w:rPr>
          <w:rFonts w:ascii="Arial" w:hAnsi="Arial" w:cs="Arial"/>
          <w:i/>
          <w:sz w:val="20"/>
          <w:szCs w:val="20"/>
        </w:rPr>
        <w:t xml:space="preserve"> </w:t>
      </w:r>
      <w:r w:rsidRPr="00A049C2">
        <w:rPr>
          <w:rFonts w:ascii="Arial" w:hAnsi="Arial" w:cs="Arial"/>
          <w:sz w:val="20"/>
          <w:szCs w:val="20"/>
        </w:rPr>
        <w:t>wobec ludzkich jednojądrzastych komórek krwi obwodowej (PBMC) oraz T-</w:t>
      </w:r>
      <w:proofErr w:type="spellStart"/>
      <w:r w:rsidRPr="00A049C2">
        <w:rPr>
          <w:rFonts w:ascii="Arial" w:hAnsi="Arial" w:cs="Arial"/>
          <w:sz w:val="20"/>
          <w:szCs w:val="20"/>
        </w:rPr>
        <w:t>Jurkat</w:t>
      </w:r>
      <w:proofErr w:type="spellEnd"/>
      <w:r w:rsidRPr="00A049C2">
        <w:rPr>
          <w:rFonts w:ascii="Arial" w:hAnsi="Arial" w:cs="Arial"/>
          <w:sz w:val="20"/>
          <w:szCs w:val="20"/>
        </w:rPr>
        <w:t xml:space="preserve"> (model immunosupresyjny). Ponadto, dla wybranych związków zbadano aktywność przeciwutleniającą (test DPPH), przeciwnowotworową, wobec komórek raka trzustki (AsPC-1), a także inhibicję </w:t>
      </w:r>
      <w:proofErr w:type="spellStart"/>
      <w:r w:rsidRPr="00A049C2">
        <w:rPr>
          <w:rFonts w:ascii="Arial" w:hAnsi="Arial" w:cs="Arial"/>
          <w:sz w:val="20"/>
          <w:szCs w:val="20"/>
        </w:rPr>
        <w:t>deacetylazy</w:t>
      </w:r>
      <w:proofErr w:type="spellEnd"/>
      <w:r w:rsidRPr="00A049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49C2">
        <w:rPr>
          <w:rFonts w:ascii="Arial" w:hAnsi="Arial" w:cs="Arial"/>
          <w:sz w:val="20"/>
          <w:szCs w:val="20"/>
        </w:rPr>
        <w:t>histonowej</w:t>
      </w:r>
      <w:proofErr w:type="spellEnd"/>
      <w:r w:rsidRPr="00A049C2">
        <w:rPr>
          <w:rFonts w:ascii="Arial" w:hAnsi="Arial" w:cs="Arial"/>
          <w:sz w:val="20"/>
          <w:szCs w:val="20"/>
        </w:rPr>
        <w:t xml:space="preserve"> HDAC6.</w:t>
      </w:r>
    </w:p>
    <w:p w:rsidR="00661F53" w:rsidRDefault="00661F53"/>
    <w:sectPr w:rsidR="00661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FFE"/>
    <w:rsid w:val="00064CEA"/>
    <w:rsid w:val="000B0E6C"/>
    <w:rsid w:val="001C61A0"/>
    <w:rsid w:val="001D6BBD"/>
    <w:rsid w:val="0028325D"/>
    <w:rsid w:val="00285EC8"/>
    <w:rsid w:val="002A67BD"/>
    <w:rsid w:val="003C017F"/>
    <w:rsid w:val="004111C5"/>
    <w:rsid w:val="004226B9"/>
    <w:rsid w:val="00453C38"/>
    <w:rsid w:val="00467668"/>
    <w:rsid w:val="00480FFE"/>
    <w:rsid w:val="0051192C"/>
    <w:rsid w:val="005F3EA6"/>
    <w:rsid w:val="00610F31"/>
    <w:rsid w:val="00661F53"/>
    <w:rsid w:val="007773A4"/>
    <w:rsid w:val="007E47C2"/>
    <w:rsid w:val="00825FF1"/>
    <w:rsid w:val="008A40D7"/>
    <w:rsid w:val="009644BB"/>
    <w:rsid w:val="00A419A0"/>
    <w:rsid w:val="00B02C6D"/>
    <w:rsid w:val="00BE3FA2"/>
    <w:rsid w:val="00E303CE"/>
    <w:rsid w:val="00E9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171E4-C464-4F87-99A5-35DF84C4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3EA6"/>
    <w:pPr>
      <w:spacing w:before="240"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44BB"/>
    <w:pPr>
      <w:keepNext/>
      <w:keepLines/>
      <w:spacing w:line="480" w:lineRule="auto"/>
      <w:jc w:val="both"/>
      <w:outlineLvl w:val="0"/>
    </w:pPr>
    <w:rPr>
      <w:rFonts w:ascii="Tahoma" w:eastAsiaTheme="majorEastAsia" w:hAnsi="Tahoma" w:cstheme="majorBidi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44BB"/>
    <w:rPr>
      <w:rFonts w:eastAsiaTheme="majorEastAsia" w:cstheme="majorBidi"/>
      <w:sz w:val="24"/>
      <w:szCs w:val="32"/>
    </w:rPr>
  </w:style>
  <w:style w:type="paragraph" w:styleId="Legenda">
    <w:name w:val="caption"/>
    <w:basedOn w:val="Normalny"/>
    <w:next w:val="Normalny"/>
    <w:autoRedefine/>
    <w:uiPriority w:val="35"/>
    <w:unhideWhenUsed/>
    <w:qFormat/>
    <w:rsid w:val="00B02C6D"/>
    <w:pPr>
      <w:spacing w:line="360" w:lineRule="auto"/>
      <w:jc w:val="center"/>
    </w:pPr>
    <w:rPr>
      <w:rFonts w:ascii="Tahoma" w:eastAsiaTheme="minorHAnsi" w:hAnsi="Tahoma" w:cs="Tahoma"/>
      <w:i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Juliusz Walczak</dc:creator>
  <cp:keywords/>
  <dc:description/>
  <cp:lastModifiedBy>Urszula</cp:lastModifiedBy>
  <cp:revision>2</cp:revision>
  <dcterms:created xsi:type="dcterms:W3CDTF">2025-02-06T13:11:00Z</dcterms:created>
  <dcterms:modified xsi:type="dcterms:W3CDTF">2025-02-06T13:11:00Z</dcterms:modified>
</cp:coreProperties>
</file>